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EB34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 w:val="44"/>
          <w:szCs w:val="44"/>
        </w:rPr>
      </w:pPr>
      <w:r>
        <w:rPr>
          <w:rFonts w:hint="eastAsia" w:ascii="仿宋" w:hAnsi="仿宋" w:eastAsia="仿宋" w:cs="仿宋"/>
          <w:sz w:val="44"/>
          <w:szCs w:val="44"/>
        </w:rPr>
        <w:t>评标方法及标准</w:t>
      </w:r>
    </w:p>
    <w:p w14:paraId="4072469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一、资格审查</w:t>
      </w:r>
    </w:p>
    <w:p w14:paraId="4265BF7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采购人对所有供应商的投标文件进行资格审查，以确定供应商是否具备投标资格，审查标准为本通告的资质要求，缺少任何一项或有任何一项不合格者，其资格审查视为不合格。</w:t>
      </w:r>
    </w:p>
    <w:p w14:paraId="6976F4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资格审查不通过而导致投标无效的情形：投标文件未按本项目公告要求提供第六条-第（三）和第（五）项文件资料。</w:t>
      </w:r>
    </w:p>
    <w:p w14:paraId="3C6F220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二、符合性检查</w:t>
      </w:r>
    </w:p>
    <w:p w14:paraId="6052D6F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采购人对通过资格审查供应商的投标文件进行符合性审查，以确定其是否满足采购文件的实质性要求。审查标准为本通告的投标文件的编制及要求，缺少任何一项或有任何一项不合格者，其符合性检查视为不合格。</w:t>
      </w:r>
    </w:p>
    <w:p w14:paraId="3DBD5BF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2.符合性审查不通过而导致投标无效的情形</w:t>
      </w:r>
    </w:p>
    <w:p w14:paraId="48D9B3B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投标人的投标文件中存在对招标文件的任何实质性要求和条件的负偏离，将被视为投标无效。</w:t>
      </w:r>
    </w:p>
    <w:p w14:paraId="6413C41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2.1在报价评审时，如发现下列情形之一的，将被视为投标无效：</w:t>
      </w:r>
    </w:p>
    <w:p w14:paraId="68C29C7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（1）未采用人民币报价或者未按照招标文件标明的币种报价的。</w:t>
      </w:r>
    </w:p>
    <w:p w14:paraId="58A7CDA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（2）报价超出公告规定采购预算金额的（包括分项预算，如有）。</w:t>
      </w:r>
    </w:p>
    <w:p w14:paraId="28A8D47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投标人未就所投分标进行报价或者存在漏项报价。投标人未就所投分标的单项内容作唯一报价。投标人未就所投项目的全部内容作唯一总价报价。存在有选择、有条件报价的（招标文件允许有备选方案或者其他约定的除外）。</w:t>
      </w:r>
    </w:p>
    <w:p w14:paraId="56C15CE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2.2在商务评审时，如发现下列情形之一的，将被视为投标无效：</w:t>
      </w:r>
    </w:p>
    <w:p w14:paraId="044E194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（1）投标文件未按本项目公告要求提供第六条-第（一）和第（四）项文件资料。</w:t>
      </w:r>
    </w:p>
    <w:p w14:paraId="169F3D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（2）投标文件未按招标文件要求签署、盖章的。</w:t>
      </w:r>
    </w:p>
    <w:p w14:paraId="5F90DFE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（3）委托代理人未能出具有效身份证明或者出具的身份证明与授权委托书中的信息不符的。 </w:t>
      </w:r>
    </w:p>
    <w:p w14:paraId="22EB3B4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（4）项目完成时间（交货时间、服务完成时间或者服务期等）与本项目公告要求发生负偏离的。</w:t>
      </w:r>
    </w:p>
    <w:p w14:paraId="3088710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（5）投标文件的实质性内容未使用中文表述、使用计量单位不符合招标文件要求的。</w:t>
      </w:r>
    </w:p>
    <w:p w14:paraId="55969AE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（6）投标文件中的文件资料因填写不齐全或者内容虚假或者出现其他情形而导致被评标委员会认定无效的。</w:t>
      </w:r>
    </w:p>
    <w:p w14:paraId="37FA752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（7）投标文件含有采购人不能接受的附加条件的。</w:t>
      </w:r>
    </w:p>
    <w:p w14:paraId="29FFC2B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（8）法律、法规和招标文件规定的其他无效情形。</w:t>
      </w:r>
    </w:p>
    <w:p w14:paraId="58D6F9A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2.3在技术评审时，如发现下列情形之一的，将被视为投标无效：</w:t>
      </w:r>
    </w:p>
    <w:p w14:paraId="674EC26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（1）不满足招标文件要求的货物内容、技术要求、安全、质量标准，或者与招标文件中的技术参数及配置发生负偏离的。</w:t>
      </w:r>
    </w:p>
    <w:p w14:paraId="37F7C2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（2）虚假投标，或者出现其他情形而导致被评标委员会认定无效的。</w:t>
      </w:r>
    </w:p>
    <w:p w14:paraId="5F33206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（3）招标文件要求提供技术方案的，投标技术方案不明确，招标文件未允许但存在一个或者一个以上备选（替代）投标方案的。</w:t>
      </w:r>
    </w:p>
    <w:p w14:paraId="3DF9F3E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p>
    <w:p w14:paraId="00A2126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p>
    <w:p w14:paraId="2ADD2D3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三、评分办法</w:t>
      </w:r>
    </w:p>
    <w:p w14:paraId="229B5E3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综合评分法，是指投标文件满足招标文件全部实质性要求，且按照评审因素的量化指标评审得分最高的投标人为中标候选人的评标方法。评标委员会将对各投标人的投标报价、技术和服务方案、投标人的企业实力及资质等方面进行综合评审，对实质上响应招标文件的投标人，由各评委独立记名打分。经统计，得出各投标人的综合得分,按综合得分由高到低顺序排列。若综合得分相同的，按投标报价由低到高顺序排列。若综合得分且投标报价相同的，以技术性能得分较高者为先。</w:t>
      </w:r>
    </w:p>
    <w:p w14:paraId="72AA786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宋体"/>
          <w:b/>
          <w:sz w:val="24"/>
          <w:szCs w:val="32"/>
        </w:rPr>
      </w:pPr>
      <w:r>
        <w:rPr>
          <w:rFonts w:hint="eastAsia" w:ascii="仿宋" w:hAnsi="仿宋" w:eastAsia="仿宋" w:cs="仿宋"/>
          <w:sz w:val="28"/>
          <w:szCs w:val="28"/>
        </w:rPr>
        <w:t>四、评分标准</w:t>
      </w:r>
    </w:p>
    <w:p w14:paraId="5F4FBAE4">
      <w:pPr>
        <w:snapToGrid w:val="0"/>
        <w:spacing w:line="400" w:lineRule="exact"/>
        <w:ind w:firstLine="482" w:firstLineChars="200"/>
        <w:jc w:val="left"/>
        <w:rPr>
          <w:rFonts w:hint="eastAsia" w:ascii="仿宋" w:hAnsi="仿宋" w:eastAsia="仿宋" w:cs="宋体"/>
          <w:b/>
          <w:bCs/>
          <w:sz w:val="24"/>
          <w:szCs w:val="32"/>
        </w:rPr>
      </w:pPr>
      <w:r>
        <w:rPr>
          <w:rFonts w:hint="eastAsia" w:ascii="仿宋" w:hAnsi="仿宋" w:eastAsia="仿宋" w:cs="宋体"/>
          <w:b/>
          <w:sz w:val="24"/>
          <w:szCs w:val="32"/>
        </w:rPr>
        <w:t>对进入详细评审的供应商，</w:t>
      </w:r>
      <w:r>
        <w:rPr>
          <w:rFonts w:hint="eastAsia" w:ascii="仿宋" w:hAnsi="仿宋" w:eastAsia="仿宋" w:cs="宋体"/>
          <w:b/>
          <w:sz w:val="24"/>
        </w:rPr>
        <w:t>采用百分制综合评分法评审。计分办法（按四舍五入取至百分位）：</w:t>
      </w:r>
    </w:p>
    <w:p w14:paraId="5F950F2C">
      <w:pPr>
        <w:spacing w:line="340" w:lineRule="exact"/>
        <w:ind w:firstLine="422"/>
        <w:rPr>
          <w:rFonts w:hint="eastAsia" w:ascii="仿宋" w:hAnsi="仿宋" w:eastAsia="仿宋"/>
          <w:b/>
          <w:bCs/>
          <w:szCs w:val="21"/>
        </w:rPr>
      </w:pPr>
      <w:r>
        <w:rPr>
          <w:rFonts w:hint="eastAsia" w:ascii="仿宋" w:hAnsi="仿宋" w:eastAsia="仿宋"/>
          <w:b/>
          <w:bCs/>
          <w:szCs w:val="21"/>
        </w:rPr>
        <w:t>1.价格分……………………………………………………………………10分</w:t>
      </w:r>
    </w:p>
    <w:p w14:paraId="6946D6E5">
      <w:pPr>
        <w:spacing w:line="340" w:lineRule="exact"/>
        <w:ind w:firstLine="422"/>
        <w:rPr>
          <w:rFonts w:hint="eastAsia" w:ascii="仿宋" w:hAnsi="仿宋" w:eastAsia="仿宋"/>
          <w:b/>
          <w:bCs/>
          <w:szCs w:val="21"/>
        </w:rPr>
      </w:pPr>
    </w:p>
    <w:p w14:paraId="2F3E0F5E">
      <w:pPr>
        <w:spacing w:line="340" w:lineRule="exact"/>
        <w:ind w:firstLine="422"/>
        <w:rPr>
          <w:rFonts w:hint="eastAsia" w:ascii="仿宋" w:hAnsi="仿宋" w:eastAsia="仿宋"/>
          <w:b/>
          <w:bCs/>
          <w:szCs w:val="21"/>
        </w:rPr>
      </w:pPr>
      <w:r>
        <w:rPr>
          <w:rFonts w:hint="eastAsia" w:ascii="仿宋" w:hAnsi="仿宋" w:eastAsia="仿宋"/>
          <w:b/>
          <w:bCs/>
          <w:szCs w:val="21"/>
        </w:rPr>
        <w:t>（1）以进入详评的最低的竞标报价得分为10分。</w:t>
      </w:r>
    </w:p>
    <w:p w14:paraId="6609722D">
      <w:pPr>
        <w:spacing w:line="340" w:lineRule="exact"/>
        <w:ind w:firstLine="422"/>
        <w:rPr>
          <w:rFonts w:hint="eastAsia" w:ascii="仿宋" w:hAnsi="仿宋" w:eastAsia="仿宋"/>
          <w:b/>
          <w:bCs/>
          <w:szCs w:val="21"/>
        </w:rPr>
      </w:pPr>
      <w:r>
        <w:rPr>
          <w:rFonts w:hint="eastAsia" w:ascii="仿宋" w:hAnsi="仿宋" w:eastAsia="仿宋"/>
          <w:b/>
          <w:bCs/>
          <w:szCs w:val="21"/>
        </w:rPr>
        <w:t xml:space="preserve">            </w:t>
      </w:r>
      <w:r>
        <w:rPr>
          <w:rFonts w:hint="default" w:ascii="仿宋" w:hAnsi="仿宋" w:eastAsia="仿宋"/>
          <w:b/>
          <w:bCs/>
          <w:szCs w:val="21"/>
          <w:lang w:val="en-US"/>
        </w:rPr>
        <w:t xml:space="preserve">             </w:t>
      </w:r>
      <w:r>
        <w:rPr>
          <w:rFonts w:hint="eastAsia" w:ascii="仿宋" w:hAnsi="仿宋" w:eastAsia="仿宋"/>
          <w:b/>
          <w:bCs/>
          <w:szCs w:val="21"/>
        </w:rPr>
        <w:t>供应商有效最低磋商报价金额</w:t>
      </w:r>
    </w:p>
    <w:p w14:paraId="0C0D4EC5">
      <w:pPr>
        <w:spacing w:line="340" w:lineRule="exact"/>
        <w:ind w:firstLine="422"/>
        <w:rPr>
          <w:rFonts w:hint="eastAsia" w:ascii="仿宋" w:hAnsi="仿宋" w:eastAsia="仿宋"/>
          <w:b/>
          <w:bCs/>
          <w:szCs w:val="21"/>
        </w:rPr>
      </w:pPr>
      <w:r>
        <w:rPr>
          <w:rFonts w:hint="eastAsia" w:ascii="仿宋" w:hAnsi="仿宋" w:eastAsia="仿宋"/>
          <w:b/>
          <w:bCs/>
          <w:szCs w:val="21"/>
        </w:rPr>
        <w:t xml:space="preserve">（2）某供应商报价分 =  </w:t>
      </w:r>
      <w:r>
        <w:rPr>
          <w:rFonts w:hint="default" w:ascii="仿宋" w:hAnsi="仿宋" w:eastAsia="仿宋"/>
          <w:b/>
          <w:bCs/>
          <w:szCs w:val="21"/>
          <w:lang w:val="en-US"/>
        </w:rPr>
        <w:t>----------------------------</w:t>
      </w:r>
      <w:r>
        <w:rPr>
          <w:rFonts w:hint="eastAsia" w:ascii="仿宋" w:hAnsi="仿宋" w:eastAsia="仿宋"/>
          <w:b/>
          <w:bCs/>
          <w:szCs w:val="21"/>
        </w:rPr>
        <w:t xml:space="preserve">  ×10分</w:t>
      </w:r>
    </w:p>
    <w:p w14:paraId="3C10A131">
      <w:pPr>
        <w:spacing w:line="340" w:lineRule="exact"/>
        <w:ind w:firstLine="422"/>
        <w:rPr>
          <w:rFonts w:hint="eastAsia" w:ascii="仿宋" w:hAnsi="仿宋" w:eastAsia="仿宋"/>
          <w:b/>
          <w:bCs/>
          <w:szCs w:val="21"/>
        </w:rPr>
      </w:pPr>
      <w:r>
        <w:rPr>
          <w:rFonts w:hint="eastAsia" w:ascii="仿宋" w:hAnsi="仿宋" w:eastAsia="仿宋"/>
          <w:b/>
          <w:bCs/>
          <w:szCs w:val="21"/>
        </w:rPr>
        <w:t xml:space="preserve">                           某供应商有效磋商报价金额              </w:t>
      </w:r>
    </w:p>
    <w:p w14:paraId="57C7C4C8">
      <w:pPr>
        <w:spacing w:line="340" w:lineRule="exact"/>
        <w:ind w:firstLine="422"/>
        <w:rPr>
          <w:rFonts w:hint="eastAsia" w:ascii="仿宋" w:hAnsi="仿宋" w:eastAsia="仿宋"/>
          <w:b/>
          <w:bCs/>
          <w:szCs w:val="21"/>
        </w:rPr>
      </w:pPr>
      <w:r>
        <w:rPr>
          <w:rFonts w:hint="eastAsia" w:ascii="仿宋" w:hAnsi="仿宋" w:eastAsia="仿宋"/>
          <w:b/>
          <w:bCs/>
          <w:szCs w:val="21"/>
        </w:rPr>
        <w:t>①按照《政府采购促进中小企业发展管理办法》（财库﹝2020﹞46号），磋商单位认定为小型和微型企业的（提供符合规定的有效声明函），并提供本企业制造的产品，由本企业承担工程、提供服务，或者提供其他小型、微型企业制造的产品的（不包括使用大型企业注册商标的产品），对磋商价给予10%的扣除。</w:t>
      </w:r>
    </w:p>
    <w:p w14:paraId="5DE1F882">
      <w:pPr>
        <w:spacing w:line="340" w:lineRule="exact"/>
        <w:ind w:firstLine="422"/>
        <w:rPr>
          <w:rFonts w:hint="eastAsia" w:ascii="仿宋" w:hAnsi="仿宋" w:eastAsia="仿宋"/>
          <w:b/>
          <w:bCs/>
          <w:szCs w:val="21"/>
        </w:rPr>
      </w:pPr>
      <w:r>
        <w:rPr>
          <w:rFonts w:hint="eastAsia" w:ascii="仿宋" w:hAnsi="仿宋" w:eastAsia="仿宋"/>
          <w:b/>
          <w:bCs/>
          <w:szCs w:val="21"/>
        </w:rPr>
        <w:t xml:space="preserve">②磋商产品提供企业按《关于政府采购支持监狱企业发展有关问题的通知》(财库[2014]68号)认定为监狱企业的，在政府采购活动中，监狱企业视同小型、微型企业。监狱企业参加政府采购活动时，应当提供由省级以上监狱管理局、戒毒管理局（含新疆生产建设兵团）出具的属于监狱企业的证明文件。 </w:t>
      </w:r>
    </w:p>
    <w:p w14:paraId="5B5DB7CC">
      <w:pPr>
        <w:spacing w:line="340" w:lineRule="exact"/>
        <w:ind w:firstLine="422"/>
        <w:rPr>
          <w:rFonts w:hint="eastAsia" w:ascii="仿宋" w:hAnsi="仿宋" w:eastAsia="仿宋"/>
          <w:b/>
          <w:bCs/>
          <w:szCs w:val="21"/>
        </w:rPr>
      </w:pPr>
      <w:r>
        <w:rPr>
          <w:rFonts w:hint="eastAsia" w:ascii="仿宋" w:hAnsi="仿宋" w:eastAsia="仿宋"/>
          <w:b/>
          <w:bCs/>
          <w:szCs w:val="21"/>
        </w:rPr>
        <w:t>③供应商及其磋商产品提供单位按《关于促进残疾人就业政府采购政策的通知》(财库〔2017〕141 号)认定为残疾人福利性单位的，在政府采购活动中，残疾人福利性单位视同小型、微型企业。符合条件的残疾人福利性单位在参加政府采购活动时，应当提供本通知规定的《残疾人福利性单位声明函》，并对声明的真实性负责。残疾人福利性单位属于小型、微型企业的，不重复享受政策。</w:t>
      </w:r>
    </w:p>
    <w:p w14:paraId="33BBF4D4">
      <w:pPr>
        <w:spacing w:line="340" w:lineRule="exact"/>
        <w:ind w:firstLine="422"/>
        <w:rPr>
          <w:rFonts w:hint="eastAsia" w:ascii="仿宋" w:hAnsi="仿宋" w:eastAsia="仿宋"/>
          <w:b/>
          <w:bCs/>
          <w:szCs w:val="21"/>
        </w:rPr>
      </w:pPr>
      <w:r>
        <w:rPr>
          <w:rFonts w:hint="eastAsia" w:ascii="仿宋" w:hAnsi="仿宋" w:eastAsia="仿宋"/>
          <w:b/>
          <w:bCs/>
          <w:szCs w:val="21"/>
        </w:rPr>
        <w:t>④政策性扣除计算方法。 供应商被认定为监狱企业或残疾人福利性单位或小型和微型企业且其所竞标产品为小型和微型企业产品的，该供应商的竞标报价给予10%的扣除，扣除后的价格为评标报价， 即评标报价=磋商报价×（1-10%）；除上述情况外，评标报价=最终磋商报价。</w:t>
      </w:r>
    </w:p>
    <w:p w14:paraId="56E28B36">
      <w:pPr>
        <w:spacing w:line="340" w:lineRule="exact"/>
        <w:ind w:firstLine="422"/>
        <w:rPr>
          <w:rFonts w:hint="eastAsia" w:ascii="仿宋" w:hAnsi="仿宋" w:eastAsia="仿宋"/>
          <w:b/>
          <w:bCs/>
          <w:szCs w:val="21"/>
        </w:rPr>
      </w:pPr>
      <w:r>
        <w:rPr>
          <w:rFonts w:hint="eastAsia" w:ascii="仿宋" w:hAnsi="仿宋" w:eastAsia="仿宋"/>
          <w:b/>
          <w:bCs/>
          <w:szCs w:val="21"/>
        </w:rPr>
        <w:t>⑤磋商小组认为供应商的报价明显低于其他通过符合性审查供应商的报价，有可能影响服务质量或者不能诚信履约的，应当要求其在评标现场合理的时间内提供书面说明，必要时提交相关证明材料；供应商不能证明其报价合理性的，磋商小组应当将其作为无效竞标处理。</w:t>
      </w:r>
    </w:p>
    <w:p w14:paraId="2A0A125E">
      <w:pPr>
        <w:spacing w:line="340" w:lineRule="exact"/>
        <w:ind w:firstLine="422"/>
        <w:rPr>
          <w:rFonts w:hint="eastAsia" w:ascii="仿宋" w:hAnsi="仿宋" w:eastAsia="仿宋"/>
          <w:b/>
          <w:bCs/>
          <w:szCs w:val="21"/>
        </w:rPr>
      </w:pPr>
      <w:r>
        <w:rPr>
          <w:rFonts w:hint="eastAsia" w:ascii="仿宋" w:hAnsi="仿宋" w:eastAsia="仿宋"/>
          <w:b/>
          <w:bCs/>
          <w:szCs w:val="21"/>
        </w:rPr>
        <w:t>2.技术分……………………………………………………………………45分</w:t>
      </w:r>
    </w:p>
    <w:p w14:paraId="03F64B8A">
      <w:pPr>
        <w:spacing w:line="340" w:lineRule="exact"/>
        <w:ind w:firstLine="422"/>
        <w:rPr>
          <w:rFonts w:hint="eastAsia" w:ascii="仿宋" w:hAnsi="仿宋" w:eastAsia="仿宋"/>
          <w:b/>
          <w:bCs/>
          <w:szCs w:val="21"/>
        </w:rPr>
      </w:pPr>
      <w:r>
        <w:rPr>
          <w:rFonts w:hint="eastAsia" w:ascii="仿宋" w:hAnsi="仿宋" w:eastAsia="仿宋"/>
          <w:b/>
          <w:bCs/>
          <w:szCs w:val="21"/>
        </w:rPr>
        <w:t>由评委根据响应文件中提供的技术部分进行横向比较和评价，在相应档次内独立打分。</w:t>
      </w:r>
    </w:p>
    <w:p w14:paraId="785297D9">
      <w:pPr>
        <w:spacing w:line="340" w:lineRule="exact"/>
        <w:ind w:firstLine="422"/>
        <w:rPr>
          <w:rFonts w:hint="eastAsia" w:ascii="仿宋" w:hAnsi="仿宋" w:eastAsia="仿宋"/>
          <w:b/>
          <w:bCs/>
          <w:szCs w:val="21"/>
        </w:rPr>
      </w:pPr>
      <w:r>
        <w:rPr>
          <w:rFonts w:hint="eastAsia" w:ascii="仿宋" w:hAnsi="仿宋" w:eastAsia="仿宋"/>
          <w:b/>
          <w:bCs/>
          <w:szCs w:val="21"/>
        </w:rPr>
        <w:t>（1）项目设计方案（满分18分）</w:t>
      </w:r>
    </w:p>
    <w:p w14:paraId="54E6356E">
      <w:pPr>
        <w:spacing w:line="340" w:lineRule="exact"/>
        <w:ind w:firstLine="422"/>
        <w:rPr>
          <w:rFonts w:hint="eastAsia" w:ascii="仿宋" w:hAnsi="仿宋" w:eastAsia="仿宋"/>
          <w:b/>
          <w:bCs/>
          <w:szCs w:val="21"/>
        </w:rPr>
      </w:pPr>
      <w:r>
        <w:rPr>
          <w:rFonts w:hint="eastAsia" w:ascii="仿宋" w:hAnsi="仿宋" w:eastAsia="仿宋"/>
          <w:b/>
          <w:bCs/>
          <w:szCs w:val="21"/>
        </w:rPr>
        <w:t>根据供应商提供的本项目设计方案进行比较，集体讨论确定各供应商所属档次，然后各评委在相应档次内独立打分，不提供方案不得分：</w:t>
      </w:r>
    </w:p>
    <w:p w14:paraId="5D642637">
      <w:pPr>
        <w:spacing w:line="340" w:lineRule="exact"/>
        <w:ind w:firstLine="422"/>
        <w:rPr>
          <w:rFonts w:hint="eastAsia" w:ascii="仿宋" w:hAnsi="仿宋" w:eastAsia="仿宋"/>
          <w:b/>
          <w:bCs/>
          <w:szCs w:val="21"/>
        </w:rPr>
      </w:pPr>
      <w:r>
        <w:rPr>
          <w:rFonts w:hint="eastAsia" w:ascii="仿宋" w:hAnsi="仿宋" w:eastAsia="仿宋"/>
          <w:b/>
          <w:bCs/>
          <w:szCs w:val="21"/>
        </w:rPr>
        <w:t>一档（6分）：项目方案简单，内容、结构不完整，针对性、可操作性不强；</w:t>
      </w:r>
    </w:p>
    <w:p w14:paraId="6C2C9573">
      <w:pPr>
        <w:spacing w:line="340" w:lineRule="exact"/>
        <w:ind w:firstLine="422"/>
        <w:rPr>
          <w:rFonts w:hint="eastAsia" w:ascii="仿宋" w:hAnsi="仿宋" w:eastAsia="仿宋"/>
          <w:b/>
          <w:bCs/>
          <w:szCs w:val="21"/>
        </w:rPr>
      </w:pPr>
      <w:r>
        <w:rPr>
          <w:rFonts w:hint="eastAsia" w:ascii="仿宋" w:hAnsi="仿宋" w:eastAsia="仿宋"/>
          <w:b/>
          <w:bCs/>
          <w:szCs w:val="21"/>
        </w:rPr>
        <w:t>二档（12分）：项目方案较详细，结构基本完整，内容较科学、合理，具有较强的针对性和可操作性，基本满足采购要求；</w:t>
      </w:r>
    </w:p>
    <w:p w14:paraId="15B53CB5">
      <w:pPr>
        <w:spacing w:line="340" w:lineRule="exact"/>
        <w:ind w:firstLine="422"/>
        <w:rPr>
          <w:rFonts w:hint="eastAsia" w:ascii="仿宋" w:hAnsi="仿宋" w:eastAsia="仿宋"/>
          <w:b/>
          <w:bCs/>
          <w:szCs w:val="21"/>
        </w:rPr>
      </w:pPr>
      <w:r>
        <w:rPr>
          <w:rFonts w:hint="eastAsia" w:ascii="仿宋" w:hAnsi="仿宋" w:eastAsia="仿宋"/>
          <w:b/>
          <w:bCs/>
          <w:szCs w:val="21"/>
        </w:rPr>
        <w:t>三档（18分）：对本项目有较深的理解，项目方案详细，结构完整，内容科学、合理，对咨询设计编制规范、概算编制规范的认识与描述，对项目进行详细需求分析，针对项目存在的重点、难点提出合理化建议，完全满足采购要求。</w:t>
      </w:r>
    </w:p>
    <w:p w14:paraId="73F313FC">
      <w:pPr>
        <w:spacing w:line="340" w:lineRule="exact"/>
        <w:ind w:firstLine="422"/>
        <w:rPr>
          <w:rFonts w:hint="eastAsia" w:ascii="仿宋" w:hAnsi="仿宋" w:eastAsia="仿宋"/>
          <w:b/>
          <w:bCs/>
          <w:szCs w:val="21"/>
        </w:rPr>
      </w:pPr>
      <w:r>
        <w:rPr>
          <w:rFonts w:hint="eastAsia" w:ascii="仿宋" w:hAnsi="仿宋" w:eastAsia="仿宋"/>
          <w:b/>
          <w:bCs/>
          <w:szCs w:val="21"/>
        </w:rPr>
        <w:t>（3）服务方案（满分18分）</w:t>
      </w:r>
    </w:p>
    <w:p w14:paraId="033C6A55">
      <w:pPr>
        <w:spacing w:line="340" w:lineRule="exact"/>
        <w:ind w:firstLine="422"/>
        <w:rPr>
          <w:rFonts w:hint="eastAsia" w:ascii="仿宋" w:hAnsi="仿宋" w:eastAsia="仿宋"/>
          <w:b/>
          <w:bCs/>
          <w:szCs w:val="21"/>
        </w:rPr>
      </w:pPr>
      <w:r>
        <w:rPr>
          <w:rFonts w:hint="eastAsia" w:ascii="仿宋" w:hAnsi="仿宋" w:eastAsia="仿宋"/>
          <w:b/>
          <w:bCs/>
          <w:szCs w:val="21"/>
        </w:rPr>
        <w:t>根据供应商提供的本项目服务方案进行比较，集体讨论确定各供应商所属档次，然后各评委在相应档次内独立打分，不提供方案不得分：</w:t>
      </w:r>
    </w:p>
    <w:p w14:paraId="49E6DB5C">
      <w:pPr>
        <w:spacing w:line="340" w:lineRule="exact"/>
        <w:ind w:firstLine="422"/>
        <w:rPr>
          <w:rFonts w:hint="eastAsia" w:ascii="仿宋" w:hAnsi="仿宋" w:eastAsia="仿宋"/>
          <w:b/>
          <w:bCs/>
          <w:szCs w:val="21"/>
        </w:rPr>
      </w:pPr>
      <w:r>
        <w:rPr>
          <w:rFonts w:hint="eastAsia" w:ascii="仿宋" w:hAnsi="仿宋" w:eastAsia="仿宋"/>
          <w:b/>
          <w:bCs/>
          <w:szCs w:val="21"/>
        </w:rPr>
        <w:t>一档（6分）：服务方案基本满足采购要求，方案简单、基本可行的；</w:t>
      </w:r>
    </w:p>
    <w:p w14:paraId="0F2757A3">
      <w:pPr>
        <w:spacing w:line="340" w:lineRule="exact"/>
        <w:ind w:firstLine="422"/>
        <w:rPr>
          <w:rFonts w:hint="eastAsia" w:ascii="仿宋" w:hAnsi="仿宋" w:eastAsia="仿宋"/>
          <w:b/>
          <w:bCs/>
          <w:szCs w:val="21"/>
        </w:rPr>
      </w:pPr>
      <w:r>
        <w:rPr>
          <w:rFonts w:hint="eastAsia" w:ascii="仿宋" w:hAnsi="仿宋" w:eastAsia="仿宋"/>
          <w:b/>
          <w:bCs/>
          <w:szCs w:val="21"/>
        </w:rPr>
        <w:t>二档（12分）：服务方案包含有项目组织计划、进度计划、保障措施等，措施切实可行，有明确的工程进度，方法严谨，方案合理、可行、较全面，方案内容及措施较完整的；</w:t>
      </w:r>
    </w:p>
    <w:p w14:paraId="3C3FFC45">
      <w:pPr>
        <w:spacing w:line="340" w:lineRule="exact"/>
        <w:ind w:firstLine="422"/>
        <w:rPr>
          <w:rFonts w:hint="eastAsia" w:ascii="仿宋" w:hAnsi="仿宋" w:eastAsia="仿宋"/>
          <w:b/>
          <w:bCs/>
          <w:szCs w:val="21"/>
        </w:rPr>
      </w:pPr>
      <w:r>
        <w:rPr>
          <w:rFonts w:hint="eastAsia" w:ascii="仿宋" w:hAnsi="仿宋" w:eastAsia="仿宋"/>
          <w:b/>
          <w:bCs/>
          <w:szCs w:val="21"/>
        </w:rPr>
        <w:t>三档（18分）：服务方案包含有项目组织计划、进度计划、保障措施、廉洁承诺等，且描述了保障措施的方法和实现方式并且考虑周全完整，有明确的工程进度和管理措施，方案详细全面、先进性及可操作性强，各项措施合理、可行，具有针对性强的。</w:t>
      </w:r>
    </w:p>
    <w:p w14:paraId="3047E43B">
      <w:pPr>
        <w:spacing w:line="340" w:lineRule="exact"/>
        <w:ind w:firstLine="422"/>
        <w:rPr>
          <w:rFonts w:hint="eastAsia" w:ascii="仿宋" w:hAnsi="仿宋" w:eastAsia="仿宋"/>
          <w:b/>
          <w:bCs/>
          <w:szCs w:val="21"/>
        </w:rPr>
      </w:pPr>
      <w:r>
        <w:rPr>
          <w:rFonts w:hint="eastAsia" w:ascii="仿宋" w:hAnsi="仿宋" w:eastAsia="仿宋"/>
          <w:b/>
          <w:bCs/>
          <w:szCs w:val="21"/>
        </w:rPr>
        <w:t>（4）售后服务方案（满分9分）</w:t>
      </w:r>
    </w:p>
    <w:p w14:paraId="2A6A3A97">
      <w:pPr>
        <w:spacing w:line="340" w:lineRule="exact"/>
        <w:ind w:firstLine="422"/>
        <w:rPr>
          <w:rFonts w:hint="eastAsia" w:ascii="仿宋" w:hAnsi="仿宋" w:eastAsia="仿宋"/>
          <w:b/>
          <w:bCs/>
          <w:szCs w:val="21"/>
        </w:rPr>
      </w:pPr>
      <w:r>
        <w:rPr>
          <w:rFonts w:hint="eastAsia" w:ascii="仿宋" w:hAnsi="仿宋" w:eastAsia="仿宋"/>
          <w:b/>
          <w:bCs/>
          <w:szCs w:val="21"/>
        </w:rPr>
        <w:t>根据供应商提供的本项目售后服务方案进行比较，集体讨论确定各供应商所属档次，然后各评委在相应档次内独立打分，不提供方案不得分：</w:t>
      </w:r>
    </w:p>
    <w:p w14:paraId="23B7FFAE">
      <w:pPr>
        <w:spacing w:line="340" w:lineRule="exact"/>
        <w:ind w:firstLine="422"/>
        <w:rPr>
          <w:rFonts w:hint="eastAsia" w:ascii="仿宋" w:hAnsi="仿宋" w:eastAsia="仿宋"/>
          <w:b/>
          <w:bCs/>
          <w:szCs w:val="21"/>
        </w:rPr>
      </w:pPr>
      <w:r>
        <w:rPr>
          <w:rFonts w:hint="eastAsia" w:ascii="仿宋" w:hAnsi="仿宋" w:eastAsia="仿宋"/>
          <w:b/>
          <w:bCs/>
          <w:szCs w:val="21"/>
        </w:rPr>
        <w:t>一档（3分）：能提供简单的售后服务方案；</w:t>
      </w:r>
    </w:p>
    <w:p w14:paraId="56F962FC">
      <w:pPr>
        <w:spacing w:line="340" w:lineRule="exact"/>
        <w:ind w:firstLine="422"/>
        <w:rPr>
          <w:rFonts w:hint="eastAsia" w:ascii="仿宋" w:hAnsi="仿宋" w:eastAsia="仿宋"/>
          <w:b/>
          <w:bCs/>
          <w:szCs w:val="21"/>
        </w:rPr>
      </w:pPr>
      <w:r>
        <w:rPr>
          <w:rFonts w:hint="eastAsia" w:ascii="仿宋" w:hAnsi="仿宋" w:eastAsia="仿宋"/>
          <w:b/>
          <w:bCs/>
          <w:szCs w:val="21"/>
        </w:rPr>
        <w:t>二档（6分）：售后服务方案满足项目需求，具有针对性，利于实施的；</w:t>
      </w:r>
    </w:p>
    <w:p w14:paraId="67B066DF">
      <w:pPr>
        <w:spacing w:line="340" w:lineRule="exact"/>
        <w:ind w:firstLine="422"/>
        <w:rPr>
          <w:rFonts w:hint="eastAsia" w:ascii="仿宋" w:hAnsi="仿宋" w:eastAsia="仿宋"/>
          <w:b/>
          <w:bCs/>
          <w:szCs w:val="21"/>
        </w:rPr>
      </w:pPr>
      <w:r>
        <w:rPr>
          <w:rFonts w:hint="eastAsia" w:ascii="仿宋" w:hAnsi="仿宋" w:eastAsia="仿宋"/>
          <w:b/>
          <w:bCs/>
          <w:szCs w:val="21"/>
        </w:rPr>
        <w:t>三档（9分）：售后服务方案具备售后服务承诺、服务内容、服务流程等，响应与处置、培训、投诉、回访、应急预案等有详细描述。</w:t>
      </w:r>
    </w:p>
    <w:p w14:paraId="46EE909E">
      <w:pPr>
        <w:spacing w:line="340" w:lineRule="exact"/>
        <w:ind w:firstLine="422"/>
        <w:rPr>
          <w:rFonts w:hint="eastAsia" w:ascii="仿宋" w:hAnsi="仿宋" w:eastAsia="仿宋"/>
          <w:b/>
          <w:bCs/>
          <w:szCs w:val="21"/>
        </w:rPr>
      </w:pPr>
      <w:r>
        <w:rPr>
          <w:rFonts w:hint="eastAsia" w:ascii="仿宋" w:hAnsi="仿宋" w:eastAsia="仿宋"/>
          <w:b/>
          <w:bCs/>
          <w:szCs w:val="21"/>
        </w:rPr>
        <w:t>3.商务分……………………………………………………………………45分</w:t>
      </w:r>
    </w:p>
    <w:p w14:paraId="119EB192">
      <w:pPr>
        <w:spacing w:line="340" w:lineRule="exact"/>
        <w:ind w:firstLine="422"/>
        <w:rPr>
          <w:rFonts w:hint="eastAsia" w:ascii="仿宋" w:hAnsi="仿宋" w:eastAsia="仿宋"/>
          <w:b/>
          <w:bCs/>
          <w:szCs w:val="21"/>
        </w:rPr>
      </w:pPr>
      <w:r>
        <w:rPr>
          <w:rFonts w:hint="eastAsia" w:ascii="仿宋" w:hAnsi="仿宋" w:eastAsia="仿宋"/>
          <w:b/>
          <w:bCs/>
          <w:szCs w:val="21"/>
        </w:rPr>
        <w:t>（1）项目人员配备分（满分36分）</w:t>
      </w:r>
    </w:p>
    <w:p w14:paraId="56A1AF54">
      <w:pPr>
        <w:spacing w:line="340" w:lineRule="exact"/>
        <w:ind w:firstLine="422"/>
        <w:rPr>
          <w:rFonts w:hint="eastAsia" w:ascii="仿宋" w:hAnsi="仿宋" w:eastAsia="仿宋"/>
          <w:b/>
          <w:bCs/>
          <w:szCs w:val="21"/>
        </w:rPr>
      </w:pPr>
      <w:r>
        <w:rPr>
          <w:rFonts w:hint="eastAsia" w:ascii="仿宋" w:hAnsi="仿宋" w:eastAsia="仿宋"/>
          <w:b/>
          <w:bCs/>
          <w:szCs w:val="21"/>
        </w:rPr>
        <w:t>供应商拟投入本项目人员满足以下要求的：</w:t>
      </w:r>
    </w:p>
    <w:p w14:paraId="381B75D7">
      <w:pPr>
        <w:spacing w:line="340" w:lineRule="exact"/>
        <w:ind w:firstLine="422"/>
        <w:rPr>
          <w:rFonts w:hint="eastAsia" w:ascii="仿宋" w:hAnsi="仿宋" w:eastAsia="仿宋"/>
          <w:b/>
          <w:bCs/>
          <w:szCs w:val="21"/>
        </w:rPr>
      </w:pPr>
      <w:r>
        <w:rPr>
          <w:rFonts w:hint="eastAsia" w:ascii="仿宋" w:hAnsi="仿宋" w:eastAsia="仿宋"/>
          <w:b/>
          <w:bCs/>
          <w:szCs w:val="21"/>
        </w:rPr>
        <w:t>①项目总负责人1人（满分12分）：需持有有效的信息系统项目管理师证书，否则以下不得分，同时持有：中华人民共和国咨询工程师（投资）登记证书[专业：电子、信息工程（含通信、广电、信息化）]或系统规划与管理师证书或系统分析师证书或系统架构设计师证书或网络工程师证书或注册信息安全专业人员证（CISP）证书，每同时具有一项证书得2分，满分12分。</w:t>
      </w:r>
    </w:p>
    <w:p w14:paraId="28960C3E">
      <w:pPr>
        <w:spacing w:line="340" w:lineRule="exact"/>
        <w:ind w:firstLine="422"/>
        <w:rPr>
          <w:rFonts w:hint="eastAsia" w:ascii="仿宋" w:hAnsi="仿宋" w:eastAsia="仿宋"/>
          <w:b/>
          <w:bCs/>
          <w:szCs w:val="21"/>
        </w:rPr>
      </w:pPr>
      <w:r>
        <w:rPr>
          <w:rFonts w:hint="eastAsia" w:ascii="仿宋" w:hAnsi="仿宋" w:eastAsia="仿宋"/>
          <w:b/>
          <w:bCs/>
          <w:szCs w:val="21"/>
        </w:rPr>
        <w:t>②技术负责人 1人（满分8分）</w:t>
      </w:r>
    </w:p>
    <w:p w14:paraId="6D38F008">
      <w:pPr>
        <w:spacing w:line="340" w:lineRule="exact"/>
        <w:ind w:firstLine="422"/>
        <w:rPr>
          <w:rFonts w:hint="eastAsia" w:ascii="仿宋" w:hAnsi="仿宋" w:eastAsia="仿宋"/>
          <w:b/>
          <w:bCs/>
          <w:szCs w:val="21"/>
        </w:rPr>
      </w:pPr>
      <w:r>
        <w:rPr>
          <w:rFonts w:hint="eastAsia" w:ascii="仿宋" w:hAnsi="仿宋" w:eastAsia="仿宋"/>
          <w:b/>
          <w:bCs/>
          <w:szCs w:val="21"/>
        </w:rPr>
        <w:t>需持有有效的信息系统项目管理师证书，否则以下不得分，同时持有：具有职称改革工作领导小组批准颁发的高级工程师证书（专业：项目管理）或中华人民共和国咨询工程师（投资）登记证书[专业：电子、信息工程（含通信、广电、信息化）]或信息系统审计师证书或软件工程造价师证书，每同时具有一项证书得2分，满分8分。</w:t>
      </w:r>
    </w:p>
    <w:p w14:paraId="0068BA51">
      <w:pPr>
        <w:spacing w:line="340" w:lineRule="exact"/>
        <w:ind w:firstLine="422"/>
        <w:rPr>
          <w:rFonts w:hint="eastAsia" w:ascii="仿宋" w:hAnsi="仿宋" w:eastAsia="仿宋"/>
          <w:b/>
          <w:bCs/>
          <w:szCs w:val="21"/>
        </w:rPr>
      </w:pPr>
      <w:r>
        <w:rPr>
          <w:rFonts w:hint="eastAsia" w:ascii="仿宋" w:hAnsi="仿宋" w:eastAsia="仿宋"/>
          <w:b/>
          <w:bCs/>
          <w:szCs w:val="21"/>
        </w:rPr>
        <w:t>③设计人员配备（除项目总负责人、技术负责人外）（满分16分）：</w:t>
      </w:r>
    </w:p>
    <w:p w14:paraId="4E6E925F">
      <w:pPr>
        <w:spacing w:line="340" w:lineRule="exact"/>
        <w:ind w:firstLine="422"/>
        <w:rPr>
          <w:rFonts w:hint="eastAsia" w:ascii="仿宋" w:hAnsi="仿宋" w:eastAsia="仿宋"/>
          <w:b/>
          <w:bCs/>
          <w:szCs w:val="21"/>
        </w:rPr>
      </w:pPr>
      <w:r>
        <w:rPr>
          <w:rFonts w:hint="eastAsia" w:ascii="仿宋" w:hAnsi="仿宋" w:eastAsia="仿宋"/>
          <w:b/>
          <w:bCs/>
          <w:szCs w:val="21"/>
        </w:rPr>
        <w:t>持有中华人民共和国咨询工程师（投资）登记证书[专业：电子、信息工程（含通信、广电、信息化）]或网络规划设计师证书或高级网络与信息安全工程师证书或注册信息安全专业人员证（CISP）或信息安全保障人员认证证书或造价工程师注册证书（安装专业）或软件工程造价师证书或信息化项目度量师证书，每项证书得2分，此项满分16分。（每项仅评一次，同一人不重复计分）。</w:t>
      </w:r>
    </w:p>
    <w:p w14:paraId="4CD76B7E">
      <w:pPr>
        <w:spacing w:line="340" w:lineRule="exact"/>
        <w:ind w:firstLine="422"/>
        <w:rPr>
          <w:rFonts w:hint="eastAsia" w:ascii="仿宋" w:hAnsi="仿宋" w:eastAsia="仿宋"/>
          <w:b/>
          <w:bCs/>
          <w:szCs w:val="21"/>
        </w:rPr>
      </w:pPr>
      <w:r>
        <w:rPr>
          <w:rFonts w:hint="eastAsia" w:ascii="仿宋" w:hAnsi="仿宋" w:eastAsia="仿宋"/>
          <w:b/>
          <w:bCs/>
          <w:szCs w:val="21"/>
        </w:rPr>
        <w:t xml:space="preserve">注：以上证书均需在响应文件中提供复印件（加盖公章），且必须提供近半年内连续三个月缴纳的社保证明复印件，以上证书若能在互联网查询验证的需提供查询网址及截图，若无法在互联网查询的均须提供人员证书原件备查，否则不计分。 </w:t>
      </w:r>
    </w:p>
    <w:p w14:paraId="492C5C58">
      <w:pPr>
        <w:spacing w:line="340" w:lineRule="exact"/>
        <w:ind w:firstLine="422"/>
        <w:rPr>
          <w:rFonts w:hint="eastAsia" w:ascii="仿宋" w:hAnsi="仿宋" w:eastAsia="仿宋"/>
          <w:b/>
          <w:bCs/>
          <w:szCs w:val="21"/>
        </w:rPr>
      </w:pPr>
      <w:r>
        <w:rPr>
          <w:rFonts w:hint="eastAsia" w:ascii="仿宋" w:hAnsi="仿宋" w:eastAsia="仿宋"/>
          <w:b/>
          <w:bCs/>
          <w:szCs w:val="21"/>
        </w:rPr>
        <w:t>（2）企业综合能力（满分4分）</w:t>
      </w:r>
    </w:p>
    <w:p w14:paraId="5820C5A5">
      <w:pPr>
        <w:spacing w:line="340" w:lineRule="exact"/>
        <w:ind w:firstLine="422"/>
        <w:rPr>
          <w:rFonts w:hint="eastAsia" w:ascii="仿宋" w:hAnsi="仿宋" w:eastAsia="仿宋"/>
          <w:b/>
          <w:bCs/>
          <w:szCs w:val="21"/>
        </w:rPr>
      </w:pPr>
      <w:r>
        <w:rPr>
          <w:rFonts w:hint="eastAsia" w:ascii="仿宋" w:hAnsi="仿宋" w:eastAsia="仿宋"/>
          <w:b/>
          <w:bCs/>
          <w:szCs w:val="21"/>
        </w:rPr>
        <w:t>1）供应商具有有效的由国家认证认可监督管理部门批准设立的认证机构颁发并在有效期内的质量管理体系认证证书、信息安全管理体系认证证书、信息技术服务管理体系认证证书，每具备一项得1分，最高得3分。</w:t>
      </w:r>
    </w:p>
    <w:p w14:paraId="0BEB51D8">
      <w:pPr>
        <w:spacing w:line="340" w:lineRule="exact"/>
        <w:ind w:firstLine="422"/>
        <w:rPr>
          <w:rFonts w:hint="eastAsia" w:ascii="仿宋" w:hAnsi="仿宋" w:eastAsia="仿宋"/>
          <w:b/>
          <w:bCs/>
          <w:szCs w:val="21"/>
        </w:rPr>
      </w:pPr>
      <w:r>
        <w:rPr>
          <w:rFonts w:hint="eastAsia" w:ascii="仿宋" w:hAnsi="仿宋" w:eastAsia="仿宋"/>
          <w:b/>
          <w:bCs/>
          <w:szCs w:val="21"/>
        </w:rPr>
        <w:t>2）供应商具有有效的工程咨询单位资信证书，得1分；满分1分。</w:t>
      </w:r>
    </w:p>
    <w:p w14:paraId="768B5510">
      <w:pPr>
        <w:spacing w:line="340" w:lineRule="exact"/>
        <w:ind w:firstLine="422"/>
        <w:rPr>
          <w:rFonts w:hint="eastAsia" w:ascii="仿宋" w:hAnsi="仿宋" w:eastAsia="仿宋"/>
          <w:b/>
          <w:bCs/>
          <w:szCs w:val="21"/>
        </w:rPr>
      </w:pPr>
      <w:r>
        <w:rPr>
          <w:rFonts w:hint="eastAsia" w:ascii="仿宋" w:hAnsi="仿宋" w:eastAsia="仿宋"/>
          <w:b/>
          <w:bCs/>
          <w:szCs w:val="21"/>
        </w:rPr>
        <w:t>注：以上证书均需在响应文件中提供复印件（加盖公章），原件备查，否则不计分。</w:t>
      </w:r>
    </w:p>
    <w:p w14:paraId="6A947621">
      <w:pPr>
        <w:spacing w:line="340" w:lineRule="exact"/>
        <w:ind w:firstLine="422"/>
        <w:rPr>
          <w:rFonts w:hint="eastAsia" w:ascii="仿宋" w:hAnsi="仿宋" w:eastAsia="仿宋"/>
          <w:b/>
          <w:bCs/>
          <w:szCs w:val="21"/>
        </w:rPr>
      </w:pPr>
      <w:r>
        <w:rPr>
          <w:rFonts w:hint="eastAsia" w:ascii="仿宋" w:hAnsi="仿宋" w:eastAsia="仿宋"/>
          <w:b/>
          <w:bCs/>
          <w:szCs w:val="21"/>
        </w:rPr>
        <w:t>（3）业绩分（满分5分）</w:t>
      </w:r>
    </w:p>
    <w:p w14:paraId="17EF5700">
      <w:pPr>
        <w:spacing w:line="340" w:lineRule="exact"/>
        <w:ind w:firstLine="422"/>
        <w:rPr>
          <w:rFonts w:hint="eastAsia" w:ascii="仿宋" w:hAnsi="仿宋" w:eastAsia="仿宋"/>
          <w:b/>
          <w:bCs/>
          <w:szCs w:val="21"/>
        </w:rPr>
      </w:pPr>
      <w:r>
        <w:rPr>
          <w:rFonts w:hint="eastAsia" w:ascii="仿宋" w:hAnsi="仿宋" w:eastAsia="仿宋"/>
          <w:b/>
          <w:bCs/>
          <w:szCs w:val="21"/>
        </w:rPr>
        <w:t>供应商自2022年以来同类咨询或设计项目业绩，每个1分，满分5分（以有效合同或中标通知书复印件为准）。</w:t>
      </w:r>
    </w:p>
    <w:p w14:paraId="745F7B18">
      <w:pPr>
        <w:spacing w:line="340" w:lineRule="exact"/>
        <w:ind w:firstLine="422" w:firstLineChars="0"/>
        <w:rPr>
          <w:rStyle w:val="12"/>
          <w:rFonts w:hint="eastAsia" w:ascii="仿宋" w:hAnsi="仿宋" w:eastAsia="仿宋" w:cs="仿宋"/>
          <w:color w:val="auto"/>
          <w:sz w:val="24"/>
          <w:u w:val="none"/>
          <w:shd w:val="clear" w:color="auto" w:fill="FFFFFF"/>
        </w:rPr>
      </w:pPr>
      <w:r>
        <w:rPr>
          <w:rFonts w:hint="eastAsia" w:ascii="仿宋" w:hAnsi="仿宋" w:eastAsia="仿宋"/>
          <w:b/>
          <w:bCs/>
          <w:szCs w:val="21"/>
        </w:rPr>
        <w:t>注：以上合同复印件（或中标通知书）均需在响应文件中提供复印件（加盖公章），原件备查，否则不计分。</w:t>
      </w:r>
    </w:p>
    <w:p w14:paraId="644BFA90">
      <w:pPr>
        <w:spacing w:line="360" w:lineRule="auto"/>
        <w:ind w:firstLine="482" w:firstLineChars="200"/>
        <w:rPr>
          <w:rFonts w:hint="eastAsia" w:ascii="仿宋" w:hAnsi="仿宋" w:eastAsia="仿宋"/>
          <w:b/>
          <w:sz w:val="24"/>
        </w:rPr>
      </w:pPr>
    </w:p>
    <w:p w14:paraId="20DE6851">
      <w:pPr>
        <w:spacing w:line="360" w:lineRule="auto"/>
        <w:ind w:firstLine="482" w:firstLineChars="200"/>
        <w:rPr>
          <w:rFonts w:hint="eastAsia" w:ascii="仿宋" w:hAnsi="仿宋" w:eastAsia="仿宋"/>
          <w:b/>
          <w:sz w:val="24"/>
        </w:rPr>
      </w:pPr>
      <w:r>
        <w:rPr>
          <w:rFonts w:hint="eastAsia" w:ascii="仿宋" w:hAnsi="仿宋" w:eastAsia="仿宋"/>
          <w:b/>
          <w:sz w:val="24"/>
        </w:rPr>
        <w:t>总得分=</w:t>
      </w:r>
      <w:r>
        <w:rPr>
          <w:rFonts w:hint="eastAsia" w:ascii="仿宋" w:hAnsi="仿宋" w:eastAsia="仿宋"/>
          <w:b/>
          <w:bCs/>
          <w:szCs w:val="21"/>
        </w:rPr>
        <w:t>1＋2＋3</w:t>
      </w:r>
    </w:p>
    <w:p w14:paraId="0C42602D">
      <w:pPr>
        <w:spacing w:line="360" w:lineRule="auto"/>
        <w:ind w:firstLine="482" w:firstLineChars="200"/>
        <w:rPr>
          <w:rFonts w:hint="eastAsia" w:ascii="仿宋" w:hAnsi="仿宋" w:eastAsia="仿宋"/>
          <w:b/>
          <w:sz w:val="24"/>
        </w:rPr>
      </w:pPr>
      <w:bookmarkStart w:id="0" w:name="_GoBack"/>
      <w:bookmarkEnd w:id="0"/>
    </w:p>
    <w:p w14:paraId="42D739E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五</w:t>
      </w:r>
      <w:r>
        <w:rPr>
          <w:rFonts w:hint="eastAsia" w:ascii="仿宋" w:hAnsi="仿宋" w:eastAsia="仿宋" w:cs="仿宋"/>
          <w:sz w:val="28"/>
          <w:szCs w:val="28"/>
        </w:rPr>
        <w:t>、中标候选人推荐原则</w:t>
      </w:r>
    </w:p>
    <w:p w14:paraId="33B8BC2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采购响应文件在质量和服务均能满足自行采购文件实质性响应要求时，采购人将根据得分由高到低排列次序（得分相同时，以最后报价由低到高顺序排列；得分相同且最后报价相同的，按技术优劣顺序排列）并推荐成交候选人。采购人应当确定项目评标小组推荐排名第一的成交候选人为成交供应商。并通过采购人官网向社会公示1日，公示期间如有异议，采购人应要求成交候选供应商在合理的时间内提供书面说明，必要时提交相关证明材料；成交候选供应商不能有效说明或证明的，采购人应当将其作为无效响应处理。排名第一的成交候选供应商放弃成交、被以无效响应处理、因不可抗力提出不能履行协议的，采购人可以确定排名第二的成交候选供应商为该项目成交供应商。其余以此类推。采购人也可以决定重新采购。</w:t>
      </w:r>
    </w:p>
    <w:p w14:paraId="082C3F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采购人认为，某供应商的有效报价或者某些分项报价明显低于其他通过符合性审查供应商的报价，有可能影响产品质量或者不能诚信履约的，应要求其在合理的时间内提供书面说明，必要时提交相关证明材料；供应商不能证明其报价合理性的，采购人应当将其作为无效响应处理。</w:t>
      </w:r>
    </w:p>
    <w:p w14:paraId="2B558634">
      <w:pPr>
        <w:spacing w:line="360" w:lineRule="auto"/>
        <w:rPr>
          <w:rFonts w:hint="eastAsia" w:ascii="仿宋" w:hAnsi="仿宋" w:eastAsia="仿宋"/>
          <w:b/>
          <w:sz w:val="24"/>
        </w:rPr>
      </w:pPr>
    </w:p>
    <w:p w14:paraId="77C07499">
      <w:pPr>
        <w:rPr>
          <w:rFonts w:hint="eastAsia"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Arial Unicode MS">
    <w:panose1 w:val="020B0604020202020204"/>
    <w:charset w:val="86"/>
    <w:family w:val="swiss"/>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jMjkwYTk0OWFjMzhlMTg1Mjg2NWM1MmI4ZjU4NzEifQ=="/>
  </w:docVars>
  <w:rsids>
    <w:rsidRoot w:val="19F2529E"/>
    <w:rsid w:val="00161FA1"/>
    <w:rsid w:val="00176947"/>
    <w:rsid w:val="002B34B2"/>
    <w:rsid w:val="002B7ABB"/>
    <w:rsid w:val="002D739A"/>
    <w:rsid w:val="002F45AE"/>
    <w:rsid w:val="0038612C"/>
    <w:rsid w:val="0039776B"/>
    <w:rsid w:val="003A38EB"/>
    <w:rsid w:val="003C2D33"/>
    <w:rsid w:val="004068BB"/>
    <w:rsid w:val="004325BD"/>
    <w:rsid w:val="00495A71"/>
    <w:rsid w:val="004C5403"/>
    <w:rsid w:val="004F5417"/>
    <w:rsid w:val="00524D09"/>
    <w:rsid w:val="005C7B00"/>
    <w:rsid w:val="005D0E98"/>
    <w:rsid w:val="0062379D"/>
    <w:rsid w:val="006A0A40"/>
    <w:rsid w:val="006B3CF9"/>
    <w:rsid w:val="00707187"/>
    <w:rsid w:val="00724A18"/>
    <w:rsid w:val="007E2D4C"/>
    <w:rsid w:val="007F26F4"/>
    <w:rsid w:val="007F7F9F"/>
    <w:rsid w:val="009C0F42"/>
    <w:rsid w:val="009C231B"/>
    <w:rsid w:val="009D2580"/>
    <w:rsid w:val="00AB2877"/>
    <w:rsid w:val="00BE1225"/>
    <w:rsid w:val="00C43BA3"/>
    <w:rsid w:val="00C77459"/>
    <w:rsid w:val="00C86A38"/>
    <w:rsid w:val="00CA7112"/>
    <w:rsid w:val="00CF40F3"/>
    <w:rsid w:val="00D15FD0"/>
    <w:rsid w:val="00D5366B"/>
    <w:rsid w:val="00D86D06"/>
    <w:rsid w:val="00DF61C9"/>
    <w:rsid w:val="00EA3037"/>
    <w:rsid w:val="00EE18E8"/>
    <w:rsid w:val="00F15837"/>
    <w:rsid w:val="00F26AC1"/>
    <w:rsid w:val="00FA4492"/>
    <w:rsid w:val="00FF7BA7"/>
    <w:rsid w:val="04E12E41"/>
    <w:rsid w:val="11AD6E16"/>
    <w:rsid w:val="11E07CD1"/>
    <w:rsid w:val="18503C16"/>
    <w:rsid w:val="19F2529E"/>
    <w:rsid w:val="1D2C698E"/>
    <w:rsid w:val="1FDC46C3"/>
    <w:rsid w:val="21050673"/>
    <w:rsid w:val="24607F63"/>
    <w:rsid w:val="28731689"/>
    <w:rsid w:val="2892692D"/>
    <w:rsid w:val="2A4B11CD"/>
    <w:rsid w:val="2B393CCC"/>
    <w:rsid w:val="34AA7C23"/>
    <w:rsid w:val="378D1C4D"/>
    <w:rsid w:val="3831395E"/>
    <w:rsid w:val="41793493"/>
    <w:rsid w:val="467448F9"/>
    <w:rsid w:val="46BF4C9C"/>
    <w:rsid w:val="497C541E"/>
    <w:rsid w:val="51C87491"/>
    <w:rsid w:val="52095BBB"/>
    <w:rsid w:val="559C6F2A"/>
    <w:rsid w:val="56726C66"/>
    <w:rsid w:val="598F0CE3"/>
    <w:rsid w:val="5D494E68"/>
    <w:rsid w:val="5E595293"/>
    <w:rsid w:val="5F49444A"/>
    <w:rsid w:val="60DD6AB1"/>
    <w:rsid w:val="6A242776"/>
    <w:rsid w:val="78372035"/>
    <w:rsid w:val="7A3F606B"/>
    <w:rsid w:val="7C686124"/>
    <w:rsid w:val="7D9F4904"/>
    <w:rsid w:val="7E466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4"/>
      <w:lang w:val="en-US" w:eastAsia="zh-CN" w:bidi="ar-SA"/>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qFormat/>
    <w:uiPriority w:val="0"/>
    <w:pPr>
      <w:jc w:val="left"/>
    </w:pPr>
  </w:style>
  <w:style w:type="paragraph" w:styleId="4">
    <w:name w:val="Plain Text"/>
    <w:basedOn w:val="1"/>
    <w:next w:val="2"/>
    <w:qFormat/>
    <w:uiPriority w:val="0"/>
    <w:rPr>
      <w:rFonts w:ascii="宋体" w:hAnsi="Courier New"/>
      <w:szCs w:val="20"/>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tabs>
        <w:tab w:val="center" w:pos="4153"/>
        <w:tab w:val="right" w:pos="8306"/>
      </w:tabs>
      <w:snapToGrid w:val="0"/>
      <w:jc w:val="center"/>
    </w:pPr>
    <w:rPr>
      <w:sz w:val="18"/>
      <w:szCs w:val="18"/>
    </w:rPr>
  </w:style>
  <w:style w:type="paragraph" w:styleId="7">
    <w:name w:val="toc 1"/>
    <w:basedOn w:val="1"/>
    <w:next w:val="1"/>
    <w:qFormat/>
    <w:uiPriority w:val="39"/>
  </w:style>
  <w:style w:type="paragraph" w:styleId="8">
    <w:name w:val="Normal (Web)"/>
    <w:basedOn w:val="1"/>
    <w:qFormat/>
    <w:uiPriority w:val="0"/>
    <w:pPr>
      <w:spacing w:beforeAutospacing="1" w:afterAutospacing="1"/>
      <w:jc w:val="left"/>
    </w:pPr>
    <w:rPr>
      <w:sz w:val="24"/>
    </w:rPr>
  </w:style>
  <w:style w:type="paragraph" w:styleId="9">
    <w:name w:val="annotation subject"/>
    <w:basedOn w:val="3"/>
    <w:next w:val="3"/>
    <w:link w:val="18"/>
    <w:qFormat/>
    <w:uiPriority w:val="0"/>
    <w:rPr>
      <w:b/>
      <w:bCs/>
    </w:rPr>
  </w:style>
  <w:style w:type="character" w:styleId="12">
    <w:name w:val="Hyperlink"/>
    <w:basedOn w:val="11"/>
    <w:qFormat/>
    <w:uiPriority w:val="0"/>
    <w:rPr>
      <w:color w:val="0000FF"/>
      <w:u w:val="single"/>
    </w:rPr>
  </w:style>
  <w:style w:type="character" w:styleId="13">
    <w:name w:val="annotation reference"/>
    <w:basedOn w:val="11"/>
    <w:qFormat/>
    <w:uiPriority w:val="0"/>
    <w:rPr>
      <w:sz w:val="21"/>
      <w:szCs w:val="21"/>
    </w:rPr>
  </w:style>
  <w:style w:type="character" w:customStyle="1" w:styleId="14">
    <w:name w:val="页眉 字符"/>
    <w:basedOn w:val="11"/>
    <w:link w:val="6"/>
    <w:qFormat/>
    <w:uiPriority w:val="0"/>
    <w:rPr>
      <w:rFonts w:ascii="Times New Roman" w:hAnsi="Times New Roman" w:eastAsia="宋体" w:cs="Times New Roman"/>
      <w:sz w:val="18"/>
      <w:szCs w:val="18"/>
    </w:rPr>
  </w:style>
  <w:style w:type="character" w:customStyle="1" w:styleId="15">
    <w:name w:val="页脚 字符"/>
    <w:basedOn w:val="11"/>
    <w:link w:val="5"/>
    <w:qFormat/>
    <w:uiPriority w:val="0"/>
    <w:rPr>
      <w:rFonts w:ascii="Times New Roman" w:hAnsi="Times New Roman" w:eastAsia="宋体" w:cs="Times New Roman"/>
      <w:sz w:val="18"/>
      <w:szCs w:val="18"/>
    </w:rPr>
  </w:style>
  <w:style w:type="paragraph" w:customStyle="1" w:styleId="16">
    <w:name w:val="表格文字"/>
    <w:basedOn w:val="1"/>
    <w:qFormat/>
    <w:uiPriority w:val="0"/>
    <w:pPr>
      <w:adjustRightInd w:val="0"/>
      <w:spacing w:line="420" w:lineRule="atLeast"/>
      <w:jc w:val="left"/>
      <w:textAlignment w:val="baseline"/>
    </w:pPr>
    <w:rPr>
      <w:szCs w:val="20"/>
    </w:rPr>
  </w:style>
  <w:style w:type="character" w:customStyle="1" w:styleId="17">
    <w:name w:val="批注文字 字符"/>
    <w:basedOn w:val="11"/>
    <w:link w:val="3"/>
    <w:qFormat/>
    <w:uiPriority w:val="0"/>
    <w:rPr>
      <w:rFonts w:ascii="Times New Roman" w:hAnsi="Times New Roman" w:eastAsia="宋体" w:cs="Times New Roman"/>
      <w:sz w:val="21"/>
      <w:szCs w:val="24"/>
    </w:rPr>
  </w:style>
  <w:style w:type="character" w:customStyle="1" w:styleId="18">
    <w:name w:val="批注主题 字符"/>
    <w:basedOn w:val="17"/>
    <w:link w:val="9"/>
    <w:qFormat/>
    <w:uiPriority w:val="0"/>
    <w:rPr>
      <w:rFonts w:ascii="Times New Roman" w:hAnsi="Times New Roman" w:eastAsia="宋体" w:cs="Times New Roman"/>
      <w:b/>
      <w:bCs/>
      <w:sz w:val="21"/>
      <w:szCs w:val="24"/>
    </w:rPr>
  </w:style>
  <w:style w:type="paragraph" w:styleId="1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4089</Words>
  <Characters>4159</Characters>
  <Lines>69</Lines>
  <Paragraphs>59</Paragraphs>
  <TotalTime>7</TotalTime>
  <ScaleCrop>false</ScaleCrop>
  <LinksUpToDate>false</LinksUpToDate>
  <CharactersWithSpaces>4176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2025-08-21T02:04:00Z</dcterms:created>
  <dc:creator>乐哈哈</dc:creator>
  <cp:lastModifiedBy>大熊</cp:lastModifiedBy>
  <cp:lastPrinted>2025-08-21T02:04:00Z</cp:lastPrinted>
  <dcterms:modified xsi:type="dcterms:W3CDTF">2025-08-30T09:07:20Z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57749412BD644EEE8746F1C3C0014827_13</vt:lpwstr>
  </property>
  <property fmtid="{D5CDD505-2E9C-101B-9397-08002B2CF9AE}" pid="4" name="KSOTemplateDocerSaveRecord">
    <vt:lpwstr>eyJoZGlkIjoiM2RhYTg3YTAwYTdlYTBhM2EyYzg4ZWVjOGQzMmJlNzQiLCJ1c2VySWQiOiI2MjU5OTQ5ODYifQ==</vt:lpwstr>
  </property>
</Properties>
</file>